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13680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339"/>
      </w:tblPr>
      <w:tblGrid>
        <w:gridCol w:w="13530"/>
        <w:gridCol w:w="75"/>
        <w:gridCol w:w="75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AE00"/>
            <w:tcW w:type="dxa" w:w="135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943634"/>
                <w:sz w:val="30"/>
                <w:b/>
                <w:szCs w:val="36"/>
                <w:lang w:val="ru-RU"/>
              </w:rPr>
              <w:t xml:space="preserve">      </w:t>
            </w:r>
            <w:r>
              <w:rPr>
                <w:color w:val="943634"/>
                <w:sz w:val="22"/>
                <w:b/>
                <w:szCs w:val="22"/>
                <w:lang w:val="ru-RU"/>
              </w:rPr>
              <w:t xml:space="preserve">                               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Уважаемые родители!!!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3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lang w:val="ru-RU"/>
              </w:rPr>
              <w:t>Зависимость от компьютерных является одной из самых острых проблем в социальной информатике. Дети начиная с младшего школьного возраста проводят большинство свободного времени за компьютером.  Данный буклет расскажет вам о том как предотвратить зависимость от компьютерных игр у ребенка!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t>Несколько  симптомов зависимости от компьютерных игр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18"/>
              <w:numPr>
                <w:ilvl w:val="0"/>
                <w:numId w:val="1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Появление чувства радости, эйфории при контакте с компьютером, при ожидании этого контакта. </w:t>
            </w:r>
          </w:p>
          <w:p>
            <w:pPr>
              <w:pStyle w:val="style18"/>
              <w:numPr>
                <w:ilvl w:val="0"/>
                <w:numId w:val="1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Отсутствие контроля над временем, проведенным за игрой. </w:t>
            </w:r>
          </w:p>
          <w:p>
            <w:pPr>
              <w:pStyle w:val="style18"/>
              <w:numPr>
                <w:ilvl w:val="0"/>
                <w:numId w:val="1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Желание увеличить время пребывания в игре. </w:t>
            </w:r>
          </w:p>
          <w:p>
            <w:pPr>
              <w:pStyle w:val="style18"/>
              <w:numPr>
                <w:ilvl w:val="0"/>
                <w:numId w:val="1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Появление чувства раздражения, гнева, либо пустоты, депрессии при отсутствии возможности поиграть. </w:t>
            </w:r>
          </w:p>
          <w:p>
            <w:pPr>
              <w:pStyle w:val="style18"/>
              <w:numPr>
                <w:ilvl w:val="0"/>
                <w:numId w:val="1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</w:pPr>
            <w:r>
              <w:rPr/>
              <w:t xml:space="preserve">Возникновение проблем в общении с близкими, в школе или на работе. </w:t>
            </w:r>
          </w:p>
          <w:p>
            <w:pPr>
              <w:pStyle w:val="style18"/>
            </w:pPr>
            <w:r>
              <w:rPr/>
              <w:t>Соматические: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Сухость глаз. 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Отсутствие аппетита. 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  <w:spacing w:after="0" w:before="0"/>
            </w:pPr>
            <w:r>
              <w:rPr/>
              <w:t xml:space="preserve">Неряшливость. 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leader="none" w:pos="707" w:val="left"/>
                <w:tab w:leader="none" w:pos="709" w:val="left"/>
              </w:tabs>
              <w:ind w:hanging="283" w:left="707" w:right="0"/>
            </w:pPr>
            <w:r>
              <w:rPr/>
              <w:t xml:space="preserve">Нарушение сна. 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  <w:t>Что нужно делать родителям при обнаружении первых симптомов зависимости!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18"/>
              <w:spacing w:after="0" w:before="0" w:line="100" w:lineRule="atLeast"/>
            </w:pPr>
            <w:r>
              <w:rPr/>
              <w:t xml:space="preserve">Если ребенок чрезмерно увлекается игрой на компьютере обратить внимание на его успешность, от чего он убегает. Т.е. исследовать причины такого поведения. </w:t>
            </w:r>
          </w:p>
          <w:p>
            <w:pPr>
              <w:pStyle w:val="style18"/>
              <w:numPr>
                <w:ilvl w:val="0"/>
                <w:numId w:val="3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Уделять ребенку внимание. Да подросток с одной стороны стремиться к независимости, но с другой - остро нуждается в поддержке и одобрении родителей. Он испытывает границы дозволенности, но в тоже время не может жить без них. </w:t>
            </w:r>
          </w:p>
          <w:p>
            <w:pPr>
              <w:pStyle w:val="style18"/>
              <w:numPr>
                <w:ilvl w:val="0"/>
                <w:numId w:val="4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Пересмотрите ваше общение с подростком. Это хорошее время, чтобы изменить правила общения в семье. </w:t>
            </w:r>
          </w:p>
          <w:p>
            <w:pPr>
              <w:pStyle w:val="style18"/>
              <w:numPr>
                <w:ilvl w:val="0"/>
                <w:numId w:val="5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Важно выделять время на общение с ребенком, слушать не только, что он делал в течение дня, уметь слушать его чувства, переживания. В этом могут помочь навыки активного слушания и «Я-высказывания». </w:t>
            </w:r>
          </w:p>
          <w:p>
            <w:pPr>
              <w:pStyle w:val="style18"/>
              <w:numPr>
                <w:ilvl w:val="0"/>
                <w:numId w:val="6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АКТИВНОЕ СЛУШАНИЕ. Этот навык предполагает умение выслушать собеседника, задавая уточняющие вопросы: «Что тебя беспокоит больше всего?», «Чего бы тебе хотелось?», «Как мне стоит себя вести?». Вопросы позволят прояснить трудную ситуацию и определить эмоциональное состояние собеседника. Данный навык можно использовать в ситуации, когда родители спокоен, а ребенок взволнован </w:t>
            </w:r>
          </w:p>
          <w:p>
            <w:pPr>
              <w:pStyle w:val="style18"/>
              <w:numPr>
                <w:ilvl w:val="0"/>
                <w:numId w:val="7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«Я-ВЫСКАЗЫВАНИЕ». Этот навык предполагает умение выражать свое эмоциональное состояние не в обидной для других форме. «Я чувствую обиду и одиночество, потому что ты меня отдаляешься». </w:t>
            </w:r>
          </w:p>
          <w:p>
            <w:pPr>
              <w:pStyle w:val="style18"/>
              <w:numPr>
                <w:ilvl w:val="0"/>
                <w:numId w:val="8"/>
              </w:numPr>
              <w:tabs>
                <w:tab w:leader="none" w:pos="720" w:val="left"/>
              </w:tabs>
              <w:ind w:hanging="283" w:left="720" w:right="0"/>
              <w:spacing w:after="0" w:before="0"/>
            </w:pPr>
            <w:r>
              <w:rPr/>
              <w:t xml:space="preserve">Очень важно понять, как сами родители справляются с конфликтными ситуациями. </w:t>
            </w:r>
          </w:p>
          <w:p>
            <w:pPr>
              <w:pStyle w:val="style18"/>
              <w:numPr>
                <w:ilvl w:val="0"/>
                <w:numId w:val="9"/>
              </w:numPr>
              <w:tabs>
                <w:tab w:leader="none" w:pos="720" w:val="left"/>
              </w:tabs>
              <w:ind w:hanging="283" w:left="720" w:right="0"/>
            </w:pPr>
            <w:r>
              <w:rPr/>
              <w:t xml:space="preserve">Согласно гигиеническим требованиям, 7-10 летние дети должны находиться за компьютером не больше 45 минут в день, 11-13 летние - два раза в день по 45 минут, старше - три раза в день. 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AE00"/>
            <w:tcW w:type="dxa" w:w="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CC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AE00"/>
            <w:tcW w:type="dxa" w:w="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hd w:fill="FFFFCC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1701" w:left="1134" w:right="1134" w:top="85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4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6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7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8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9">
    <w:lvl w:ilvl="0">
      <w:start w:val="1"/>
      <w:numFmt w:val="bullet"/>
      <w:lvlJc w:val="left"/>
      <w:lvlText w:val="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0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Trebuchet MS" w:cs="" w:eastAsia="Arial Unicode MS" w:hAnsi="Trebuchet MS"/>
      <w:lang w:bidi="ar-SA" w:eastAsia="ru-RU" w:val="ru-RU"/>
    </w:rPr>
  </w:style>
  <w:style w:styleId="style3" w:type="paragraph">
    <w:name w:val="Заголовок 3"/>
    <w:basedOn w:val="style17"/>
    <w:next w:val="style18"/>
    <w:pPr>
      <w:outlineLvl w:val="2"/>
    </w:pPr>
    <w:rPr>
      <w:sz w:val="28"/>
      <w:b/>
      <w:szCs w:val="28"/>
      <w:bCs/>
      <w:rFonts w:ascii="Times New Roman" w:cs="Tahoma" w:eastAsia="Arial Unicode MS" w:hAnsi="Times New Roman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2011-07-19T03:18:00.00Z</dcterms:created>
  <dc:creator>Натали</dc:creator>
  <cp:lastModifiedBy>Натали</cp:lastModifiedBy>
  <dcterms:modified xsi:type="dcterms:W3CDTF">2011-07-19T03:32:00.00Z</dcterms:modified>
  <cp:revision>2</cp:revision>
</cp:coreProperties>
</file>